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9" w:rsidRDefault="005C71E8">
      <w:pPr>
        <w:widowControl w:val="0"/>
        <w:spacing w:after="0" w:line="240" w:lineRule="auto"/>
      </w:pPr>
      <w:r>
        <w:rPr>
          <w:rFonts w:ascii="Times New Roman" w:hAnsi="Times New Roman"/>
          <w:sz w:val="30"/>
          <w:szCs w:val="30"/>
        </w:rPr>
        <w:t>МАТЕРИАЛЫ</w:t>
      </w:r>
    </w:p>
    <w:p w:rsidR="007D7FD9" w:rsidRDefault="005C71E8">
      <w:pPr>
        <w:widowControl w:val="0"/>
        <w:spacing w:after="0" w:line="240" w:lineRule="auto"/>
      </w:pPr>
      <w:r>
        <w:rPr>
          <w:rFonts w:ascii="Times New Roman" w:hAnsi="Times New Roman"/>
          <w:sz w:val="30"/>
          <w:szCs w:val="30"/>
        </w:rPr>
        <w:t>для информационно-пропагандистских групп</w:t>
      </w:r>
    </w:p>
    <w:p w:rsidR="007D7FD9" w:rsidRDefault="005C71E8">
      <w:pPr>
        <w:spacing w:before="283" w:after="283" w:line="240" w:lineRule="auto"/>
        <w:jc w:val="center"/>
      </w:pPr>
      <w:r>
        <w:rPr>
          <w:rFonts w:ascii="Times New Roman" w:hAnsi="Times New Roman"/>
          <w:b/>
          <w:color w:val="000000"/>
          <w:sz w:val="30"/>
          <w:szCs w:val="30"/>
        </w:rPr>
        <w:t>О БЕЗОПАСНОСТИ БЕЛОРУССКОЙ АЭС</w:t>
      </w:r>
    </w:p>
    <w:p w:rsidR="007D7FD9" w:rsidRDefault="005C71E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Ядерная энергетика в мире</w:t>
      </w:r>
    </w:p>
    <w:p w:rsidR="007D7FD9" w:rsidRDefault="005C71E8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 xml:space="preserve">Ядерная энергетика прочно заняла свое место среди ведущих отраслей производства в мире. Согласно данным Информационной системы ядерных реакторов МАГАТЭ PRIS (размещена по адресу </w:t>
      </w:r>
      <w:hyperlink r:id="rId7">
        <w:r>
          <w:rPr>
            <w:rStyle w:val="-"/>
            <w:rFonts w:ascii="Times New Roman" w:hAnsi="Times New Roman"/>
            <w:sz w:val="30"/>
            <w:szCs w:val="30"/>
          </w:rPr>
          <w:t>http://www.iaea.org/PRIS/</w:t>
        </w:r>
      </w:hyperlink>
      <w:r>
        <w:rPr>
          <w:rFonts w:ascii="Times New Roman" w:hAnsi="Times New Roman"/>
          <w:color w:val="000000"/>
          <w:sz w:val="30"/>
          <w:szCs w:val="30"/>
        </w:rPr>
        <w:t>), по сост</w:t>
      </w:r>
      <w:r>
        <w:rPr>
          <w:rFonts w:ascii="Times New Roman" w:hAnsi="Times New Roman"/>
          <w:color w:val="000000"/>
          <w:sz w:val="30"/>
          <w:szCs w:val="30"/>
        </w:rPr>
        <w:t xml:space="preserve">оянию на июль 2017 года в мире эксплуатируются 449 ядерных реакторов. Их общая установленная мощность – 392 100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MWe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. 2 реактора находятся в состоянии долговременной остановки и 60 – в стадии сооружения.</w:t>
      </w:r>
    </w:p>
    <w:p w:rsidR="007D7FD9" w:rsidRDefault="005C71E8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>В разрезе стран больше всего энергоблоков эксплуатиру</w:t>
      </w:r>
      <w:r>
        <w:rPr>
          <w:rFonts w:ascii="Times New Roman" w:hAnsi="Times New Roman"/>
          <w:color w:val="000000"/>
          <w:sz w:val="30"/>
          <w:szCs w:val="30"/>
        </w:rPr>
        <w:t>ется</w:t>
      </w:r>
      <w:r>
        <w:rPr>
          <w:rFonts w:ascii="Times New Roman" w:hAnsi="Times New Roman"/>
          <w:color w:val="000000"/>
          <w:sz w:val="30"/>
          <w:szCs w:val="30"/>
        </w:rPr>
        <w:br/>
        <w:t>в США – 99. На втором месте – Франция (58), которая также является лидером среди всех стран по доле электроэнергии, производимой на АЭС, в общем энергобалансе (77,7%). На третьем месте – Япония</w:t>
      </w:r>
      <w:r>
        <w:rPr>
          <w:rFonts w:ascii="Times New Roman" w:hAnsi="Times New Roman"/>
          <w:color w:val="000000"/>
          <w:sz w:val="30"/>
          <w:szCs w:val="30"/>
        </w:rPr>
        <w:br/>
        <w:t>(42 энергоблока). Далее следуют Китай и Российская Федера</w:t>
      </w:r>
      <w:r>
        <w:rPr>
          <w:rFonts w:ascii="Times New Roman" w:hAnsi="Times New Roman"/>
          <w:color w:val="000000"/>
          <w:sz w:val="30"/>
          <w:szCs w:val="30"/>
        </w:rPr>
        <w:t>ция</w:t>
      </w:r>
      <w:r>
        <w:rPr>
          <w:rFonts w:ascii="Times New Roman" w:hAnsi="Times New Roman"/>
          <w:color w:val="000000"/>
          <w:sz w:val="30"/>
          <w:szCs w:val="30"/>
        </w:rPr>
        <w:br/>
        <w:t>(в России – 35 энергоблоков).</w:t>
      </w:r>
    </w:p>
    <w:p w:rsidR="007D7FD9" w:rsidRDefault="005C71E8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226560" cy="42221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D9" w:rsidRDefault="007D7FD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7D7FD9" w:rsidRDefault="005C71E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br w:type="page"/>
      </w:r>
    </w:p>
    <w:p w:rsidR="007D7FD9" w:rsidRDefault="005C71E8">
      <w:pPr>
        <w:spacing w:after="0" w:line="240" w:lineRule="auto"/>
        <w:ind w:firstLine="720"/>
        <w:jc w:val="both"/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Причины принятия решения о сооружении Белорусской АЭС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Согласно Указу Президента Республики Беларусь «О сооружении Белорусской атомной электростанции» от 2 ноября 2013 года №499,</w:t>
      </w:r>
      <w:r>
        <w:rPr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Белорусская АЭС сооружается в целях пов</w:t>
      </w:r>
      <w:r>
        <w:rPr>
          <w:rFonts w:ascii="Times New Roman" w:hAnsi="Times New Roman"/>
          <w:color w:val="000000"/>
          <w:sz w:val="30"/>
          <w:szCs w:val="30"/>
        </w:rPr>
        <w:t>ышения экономической и энергетической безопасности Республики Беларусь.</w:t>
      </w:r>
    </w:p>
    <w:p w:rsidR="007D7FD9" w:rsidRDefault="007D7F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D7FD9" w:rsidRDefault="005C71E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Проект Белорусской АЭС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Для строительства Белорусской АЭС выбран проект «АЭС-2006» с реакторами ВВЭР-1200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водо-водяной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энергетический реактор, в котором в качестве замедлителя и тепло</w:t>
      </w:r>
      <w:r>
        <w:rPr>
          <w:rFonts w:ascii="Times New Roman" w:hAnsi="Times New Roman"/>
          <w:color w:val="000000"/>
          <w:sz w:val="30"/>
          <w:szCs w:val="30"/>
        </w:rPr>
        <w:t>носителя используется обычная вода) Акционерного общества «Санкт-Петербургский научно-исследовательский и проектно-конструкторский институт энергетических технологий «АТОМЭНЕРГОПРОЕКТ», отличающийся повышенными характеристиками безопасности и технико-эконо</w:t>
      </w:r>
      <w:r>
        <w:rPr>
          <w:rFonts w:ascii="Times New Roman" w:hAnsi="Times New Roman"/>
          <w:color w:val="000000"/>
          <w:sz w:val="30"/>
          <w:szCs w:val="30"/>
        </w:rPr>
        <w:t>мическими показателями. Строительство по данному проекту обеспечивает: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создание АЭС поколения 3+, особенностью которой является новая реакторная установка с дополнительными системами безопасности: системой пассивного отвода тепла; двойной защитной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гермообо</w:t>
      </w:r>
      <w:r>
        <w:rPr>
          <w:rFonts w:ascii="Times New Roman" w:hAnsi="Times New Roman"/>
          <w:color w:val="000000"/>
          <w:sz w:val="30"/>
          <w:szCs w:val="30"/>
        </w:rPr>
        <w:t>лочкой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; ловушкой расплава топлива при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запроектной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аварии;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максимальную реализацию принципа глубоко эшелонированной защиты</w:t>
      </w:r>
      <w:r>
        <w:rPr>
          <w:rStyle w:val="a9"/>
          <w:rFonts w:ascii="Times New Roman" w:hAnsi="Times New Roman"/>
          <w:color w:val="000000"/>
          <w:sz w:val="30"/>
          <w:szCs w:val="30"/>
        </w:rPr>
        <w:footnoteReference w:id="1"/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7D7FD9" w:rsidRDefault="007D7F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Основные технические характеристики энергоблоков Белорусской АЭС приведены ниже.</w:t>
      </w:r>
    </w:p>
    <w:tbl>
      <w:tblPr>
        <w:tblW w:w="9639" w:type="dxa"/>
        <w:tblInd w:w="108" w:type="dxa"/>
        <w:tblLook w:val="00A0"/>
      </w:tblPr>
      <w:tblGrid>
        <w:gridCol w:w="7370"/>
        <w:gridCol w:w="2269"/>
      </w:tblGrid>
      <w:tr w:rsidR="007D7FD9">
        <w:trPr>
          <w:trHeight w:hRule="exact" w:val="49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Наименование характеристики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Величина</w:t>
            </w:r>
          </w:p>
        </w:tc>
      </w:tr>
      <w:tr w:rsidR="007D7FD9">
        <w:trPr>
          <w:trHeight w:hRule="exact" w:val="413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 xml:space="preserve">Количество </w:t>
            </w:r>
            <w:r>
              <w:rPr>
                <w:rStyle w:val="10"/>
                <w:bCs/>
                <w:color w:val="auto"/>
                <w:sz w:val="30"/>
                <w:szCs w:val="30"/>
              </w:rPr>
              <w:t>блоков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>2</w:t>
            </w:r>
          </w:p>
        </w:tc>
      </w:tr>
      <w:tr w:rsidR="007D7FD9">
        <w:trPr>
          <w:trHeight w:hRule="exact" w:val="84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10"/>
                <w:bCs/>
                <w:color w:val="auto"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 xml:space="preserve">Срок службы: </w:t>
            </w:r>
          </w:p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>реакторная установка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7D7FD9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rStyle w:val="10"/>
                <w:color w:val="auto"/>
                <w:sz w:val="30"/>
                <w:szCs w:val="30"/>
              </w:rPr>
            </w:pPr>
          </w:p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>60 лет</w:t>
            </w:r>
          </w:p>
        </w:tc>
      </w:tr>
      <w:tr w:rsidR="007D7FD9">
        <w:trPr>
          <w:trHeight w:hRule="exact" w:val="429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>паротурбинная установка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>50 лет</w:t>
            </w:r>
          </w:p>
        </w:tc>
      </w:tr>
      <w:tr w:rsidR="007D7FD9">
        <w:trPr>
          <w:trHeight w:hRule="exact" w:val="79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rStyle w:val="10"/>
                <w:bCs/>
                <w:color w:val="auto"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 xml:space="preserve">Мощность энергоблока, МВт: </w:t>
            </w:r>
          </w:p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>электрическая (брутто)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7D7FD9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rStyle w:val="10"/>
                <w:color w:val="auto"/>
                <w:sz w:val="30"/>
                <w:szCs w:val="30"/>
              </w:rPr>
            </w:pPr>
          </w:p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 xml:space="preserve">до 1200 </w:t>
            </w:r>
            <w:r>
              <w:rPr>
                <w:rStyle w:val="10"/>
                <w:bCs/>
                <w:color w:val="auto"/>
                <w:sz w:val="30"/>
                <w:szCs w:val="30"/>
              </w:rPr>
              <w:t>МВт</w:t>
            </w:r>
          </w:p>
        </w:tc>
      </w:tr>
      <w:tr w:rsidR="007D7FD9">
        <w:trPr>
          <w:trHeight w:hRule="exact" w:val="51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>тепловая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 xml:space="preserve">3200 </w:t>
            </w:r>
            <w:r>
              <w:rPr>
                <w:rStyle w:val="10"/>
                <w:bCs/>
                <w:color w:val="auto"/>
                <w:sz w:val="30"/>
                <w:szCs w:val="30"/>
              </w:rPr>
              <w:t>МВт</w:t>
            </w:r>
          </w:p>
        </w:tc>
      </w:tr>
      <w:tr w:rsidR="007D7FD9">
        <w:trPr>
          <w:trHeight w:hRule="exact" w:val="52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jc w:val="left"/>
              <w:rPr>
                <w:bCs/>
                <w:sz w:val="30"/>
                <w:szCs w:val="30"/>
              </w:rPr>
            </w:pPr>
            <w:r>
              <w:rPr>
                <w:rStyle w:val="10"/>
                <w:bCs/>
                <w:color w:val="auto"/>
                <w:sz w:val="30"/>
                <w:szCs w:val="30"/>
              </w:rPr>
              <w:t>Продолжительность кампании топлива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D9" w:rsidRDefault="005C71E8">
            <w:pPr>
              <w:pStyle w:val="3"/>
              <w:shd w:val="clear" w:color="auto" w:fill="auto"/>
              <w:spacing w:before="0" w:after="0" w:line="240" w:lineRule="auto"/>
              <w:ind w:right="-1" w:firstLine="0"/>
              <w:rPr>
                <w:sz w:val="30"/>
                <w:szCs w:val="30"/>
              </w:rPr>
            </w:pPr>
            <w:r>
              <w:rPr>
                <w:rStyle w:val="10"/>
                <w:color w:val="auto"/>
                <w:sz w:val="30"/>
                <w:szCs w:val="30"/>
              </w:rPr>
              <w:t>4</w:t>
            </w:r>
            <w:r>
              <w:rPr>
                <w:rStyle w:val="10"/>
                <w:bCs/>
                <w:color w:val="auto"/>
                <w:sz w:val="30"/>
                <w:szCs w:val="30"/>
              </w:rPr>
              <w:t xml:space="preserve"> года</w:t>
            </w:r>
          </w:p>
        </w:tc>
      </w:tr>
    </w:tbl>
    <w:p w:rsidR="007D7FD9" w:rsidRDefault="007D7FD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D7FD9" w:rsidRDefault="005C71E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lastRenderedPageBreak/>
        <w:br w:type="page"/>
      </w:r>
    </w:p>
    <w:p w:rsidR="007D7FD9" w:rsidRDefault="005C71E8">
      <w:pPr>
        <w:spacing w:after="0" w:line="240" w:lineRule="auto"/>
        <w:ind w:firstLine="720"/>
        <w:jc w:val="both"/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Учет уроков аварии на японской АЭС </w:t>
      </w:r>
      <w:r>
        <w:rPr>
          <w:rFonts w:ascii="Times New Roman" w:hAnsi="Times New Roman"/>
          <w:b/>
          <w:color w:val="000000"/>
          <w:sz w:val="30"/>
          <w:szCs w:val="30"/>
        </w:rPr>
        <w:t>«Фукусима-1»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Уроки аварии на японской АЭС «Фукусима-1» всесторонне анализировались различными организациями, вовлеченными в обеспечение ядерной и радиационной безопасности, включая Международное агентство по атомной энергии. Предложен ряд мер, направленных</w:t>
      </w:r>
      <w:r>
        <w:rPr>
          <w:rFonts w:ascii="Times New Roman" w:hAnsi="Times New Roman"/>
          <w:color w:val="000000"/>
          <w:sz w:val="30"/>
          <w:szCs w:val="30"/>
        </w:rPr>
        <w:t xml:space="preserve"> на усиление безопасности, в том числе: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улучшения проектов АЭС;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внеочередные проверки безопасности АЭС по отношению к экстремальным природным воздействиям и их сочетанию (</w:t>
      </w: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стресс-тесты</w:t>
      </w:r>
      <w:proofErr w:type="spellEnd"/>
      <w:proofErr w:type="gramEnd"/>
      <w:r>
        <w:rPr>
          <w:rFonts w:ascii="Times New Roman" w:hAnsi="Times New Roman"/>
          <w:color w:val="000000"/>
          <w:sz w:val="30"/>
          <w:szCs w:val="30"/>
        </w:rPr>
        <w:t>);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эффективное обеспечение независимости регулирующих органов в области я</w:t>
      </w:r>
      <w:r>
        <w:rPr>
          <w:rFonts w:ascii="Times New Roman" w:hAnsi="Times New Roman"/>
          <w:color w:val="000000"/>
          <w:sz w:val="30"/>
          <w:szCs w:val="30"/>
        </w:rPr>
        <w:t>дерной и радиационной безопасности;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развитие международных механизмов обмена опытом обеспечения ядерной и радиационной безопасности;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активное использование странами внешних оценочных миссий и партнерских проверок и др.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Проект Белорусской АЭС и его системы </w:t>
      </w:r>
      <w:r>
        <w:rPr>
          <w:rFonts w:ascii="Times New Roman" w:hAnsi="Times New Roman"/>
          <w:color w:val="000000"/>
          <w:sz w:val="30"/>
          <w:szCs w:val="30"/>
        </w:rPr>
        <w:t>безопасности позволяет надлежащим образом противостоять угрозам, выявленным в контексте аварии на АЭС «Фукусима-1». Уроки этой аварии были рассмотрены в рамках миссии МАГАТЭ по оценке площадки строительства и внешних воздействий на проект (SEED) в январе 2</w:t>
      </w:r>
      <w:r>
        <w:rPr>
          <w:rFonts w:ascii="Times New Roman" w:hAnsi="Times New Roman"/>
          <w:color w:val="000000"/>
          <w:sz w:val="30"/>
          <w:szCs w:val="30"/>
        </w:rPr>
        <w:t xml:space="preserve">017 года. Миссия пришла к выводу, что они надлежащим образом учтены при сооружении Белорусской АЭС на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Островецкой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площадке.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Республике Беларусь принято решение о проведении целевой переоценки безопасности (</w:t>
      </w: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стресс-тестов</w:t>
      </w:r>
      <w:proofErr w:type="spellEnd"/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) Белорусской АЭС в соответствии с </w:t>
      </w:r>
      <w:r>
        <w:rPr>
          <w:rFonts w:ascii="Times New Roman" w:hAnsi="Times New Roman"/>
          <w:color w:val="000000"/>
          <w:sz w:val="30"/>
          <w:szCs w:val="30"/>
        </w:rPr>
        <w:t xml:space="preserve">требованиями Европейского союза. Она была осуществлена в 2016 году. В 1 квартале 2017 года подготовлен отчет о самооценке Белорусской АЭС, на основании которого в настоящее время осуществляется подготовка Национального доклада о </w:t>
      </w:r>
      <w:proofErr w:type="spellStart"/>
      <w:proofErr w:type="gramStart"/>
      <w:r>
        <w:rPr>
          <w:rFonts w:ascii="Times New Roman" w:hAnsi="Times New Roman"/>
          <w:color w:val="000000"/>
          <w:sz w:val="30"/>
          <w:szCs w:val="30"/>
        </w:rPr>
        <w:t>стресс-тестах</w:t>
      </w:r>
      <w:proofErr w:type="spellEnd"/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(срок готовно</w:t>
      </w:r>
      <w:r>
        <w:rPr>
          <w:rFonts w:ascii="Times New Roman" w:hAnsi="Times New Roman"/>
          <w:color w:val="000000"/>
          <w:sz w:val="30"/>
          <w:szCs w:val="30"/>
        </w:rPr>
        <w:t>сти – 31 августа 2017 году). В дальнейшем Национальный доклад будет рассмотрен во взаимодействии с Европейской комиссией.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С целью обмена опытом регулирования ядерной и радиационной безопасности и эксплуатации объектов использования атомной энергии и источн</w:t>
      </w:r>
      <w:r>
        <w:rPr>
          <w:rFonts w:ascii="Times New Roman" w:hAnsi="Times New Roman"/>
          <w:color w:val="000000"/>
          <w:sz w:val="30"/>
          <w:szCs w:val="30"/>
        </w:rPr>
        <w:t>иков ионизирующего излучения вступила и участвует в деятельности глобальных и региональных сетей, международных объединений регулирующих органов в области ядерной безопасности (Форум сотрудничества регуляторов – RCF, Ассоциация регулирующих органов в облас</w:t>
      </w:r>
      <w:r>
        <w:rPr>
          <w:rFonts w:ascii="Times New Roman" w:hAnsi="Times New Roman"/>
          <w:color w:val="000000"/>
          <w:sz w:val="30"/>
          <w:szCs w:val="30"/>
        </w:rPr>
        <w:t xml:space="preserve">ти ядерной безопасности Западной Европы – WENRA, Форум органов регулирования стран, эксплуатирующих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водо-водяной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энергетический реактор – VVER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Forum</w:t>
      </w:r>
      <w:proofErr w:type="spellEnd"/>
      <w:proofErr w:type="gramEnd"/>
      <w:r>
        <w:rPr>
          <w:rFonts w:ascii="Times New Roman" w:hAnsi="Times New Roman"/>
          <w:color w:val="000000"/>
          <w:sz w:val="30"/>
          <w:szCs w:val="30"/>
        </w:rPr>
        <w:t>), международных объединений организаций, эксплуатирующих АЭС (Всемирная ассоциация операторов атомных элект</w:t>
      </w:r>
      <w:r>
        <w:rPr>
          <w:rFonts w:ascii="Times New Roman" w:hAnsi="Times New Roman"/>
          <w:color w:val="000000"/>
          <w:sz w:val="30"/>
          <w:szCs w:val="30"/>
        </w:rPr>
        <w:t>ростанций – WANO);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развивает сотрудничество по вопросам обеспечения ядерной и радиационной безопасности в двустороннем формате;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приглашает в страну международные оценочные миссии;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анализирует международные рекомендации в области ядерной и радиационной безо</w:t>
      </w:r>
      <w:r>
        <w:rPr>
          <w:rFonts w:ascii="Times New Roman" w:hAnsi="Times New Roman"/>
          <w:color w:val="000000"/>
          <w:sz w:val="30"/>
          <w:szCs w:val="30"/>
        </w:rPr>
        <w:t xml:space="preserve">пасности, документы МАГАТЭ, в том числе новые, для их последующего внедрения в нормативные правовые акты и практического применения. </w:t>
      </w:r>
    </w:p>
    <w:p w:rsidR="007D7FD9" w:rsidRDefault="007D7FD9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7D7FD9" w:rsidRDefault="005C71E8">
      <w:pPr>
        <w:spacing w:after="0" w:line="228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Выбор площадки для Белорусской АЭС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Выбор площадки для сооружения Белорусской АЭС был проведен в соответствии с нормативны</w:t>
      </w:r>
      <w:r>
        <w:rPr>
          <w:rFonts w:ascii="Times New Roman" w:hAnsi="Times New Roman"/>
          <w:color w:val="000000"/>
          <w:sz w:val="30"/>
          <w:szCs w:val="30"/>
        </w:rPr>
        <w:t xml:space="preserve">ми документами МАГАТЭ и национальными документами Республики Беларусь. </w:t>
      </w:r>
    </w:p>
    <w:p w:rsidR="007D7FD9" w:rsidRDefault="005C71E8">
      <w:pPr>
        <w:spacing w:after="0" w:line="228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>На основании исследований, а также анализа имеющихся фондовых и архивных материалов, по гидрогеологическим, метеорологическим и другим факторам с учетом запрещающих и ограничивающих тр</w:t>
      </w:r>
      <w:r>
        <w:rPr>
          <w:rFonts w:ascii="Times New Roman" w:hAnsi="Times New Roman"/>
          <w:color w:val="000000"/>
          <w:sz w:val="30"/>
          <w:szCs w:val="30"/>
        </w:rPr>
        <w:t xml:space="preserve">ебований к размещению АЭС на территории Республики Беларусь были определены три площадки-кандидата: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Краснополянская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Кукшиновская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Островецкая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. На данных площадках был выполнен весь комплекс изысканий и исследований, предусмотренный документами МАГАТЭ и н</w:t>
      </w:r>
      <w:r>
        <w:rPr>
          <w:rFonts w:ascii="Times New Roman" w:hAnsi="Times New Roman"/>
          <w:color w:val="000000"/>
          <w:sz w:val="30"/>
          <w:szCs w:val="30"/>
        </w:rPr>
        <w:t xml:space="preserve">ациональными документами Республики Беларусь. Результаты выполненных работ подробно представлены в отчете об (ОВОС) Белорусской АЭС, который размещен на интернет-сайте РУП «Белорусская АЭС» </w:t>
      </w:r>
      <w:hyperlink r:id="rId9">
        <w:r>
          <w:rPr>
            <w:rStyle w:val="-"/>
            <w:rFonts w:ascii="Times New Roman" w:hAnsi="Times New Roman"/>
            <w:sz w:val="30"/>
            <w:szCs w:val="30"/>
          </w:rPr>
          <w:t>http://www.belaes.by/</w:t>
        </w:r>
      </w:hyperlink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color w:val="000000"/>
          <w:sz w:val="30"/>
          <w:szCs w:val="30"/>
        </w:rPr>
        <w:t>Скри</w:t>
      </w:r>
      <w:r>
        <w:rPr>
          <w:rFonts w:ascii="Times New Roman" w:hAnsi="Times New Roman"/>
          <w:color w:val="000000"/>
          <w:sz w:val="30"/>
          <w:szCs w:val="30"/>
        </w:rPr>
        <w:t>нинговая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оценка площадок-кандидатов показала, что на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Кукшиновской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Краснополянской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площадках-кандидатах выявлен ряд неблагоприятных для размещения АЭС факторов геологической и гидрогеологической природы, которые не относятся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к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запрещающим. На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Островецкой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площадке подобных неблагоприятных условий не выявлено. На основании выше изложенного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Островецкая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площадка была выбрана как приоритетная.</w:t>
      </w:r>
    </w:p>
    <w:p w:rsidR="007D7FD9" w:rsidRDefault="005C71E8">
      <w:pPr>
        <w:spacing w:after="0" w:line="228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 xml:space="preserve">В январе 2017 г. в Беларуси прошла миссия МАГАТЭ по оценке площадки и дизайна АЭС с учетом внешних воздействий (миссия </w:t>
      </w:r>
      <w:r>
        <w:rPr>
          <w:rFonts w:ascii="Times New Roman" w:hAnsi="Times New Roman"/>
          <w:color w:val="000000"/>
          <w:sz w:val="30"/>
          <w:szCs w:val="30"/>
          <w:lang w:val="en-US"/>
        </w:rPr>
        <w:t>SEED</w:t>
      </w:r>
      <w:r>
        <w:rPr>
          <w:rFonts w:ascii="Times New Roman" w:hAnsi="Times New Roman"/>
          <w:color w:val="000000"/>
          <w:sz w:val="30"/>
          <w:szCs w:val="30"/>
        </w:rPr>
        <w:t>). В ходе миссии рассмотрены: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скрининг внешних воздействий;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характеристика внешних воздействий как природного, так и техногенного характера;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изучение проектных параметров площадки строительства;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обеспечение мониторинга площадки и окружающей среды;</w:t>
      </w:r>
    </w:p>
    <w:p w:rsidR="007D7FD9" w:rsidRDefault="005C71E8">
      <w:pPr>
        <w:spacing w:after="0" w:line="228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учет</w:t>
      </w:r>
      <w:r>
        <w:rPr>
          <w:rFonts w:ascii="Times New Roman" w:hAnsi="Times New Roman"/>
          <w:color w:val="000000"/>
          <w:sz w:val="30"/>
          <w:szCs w:val="30"/>
        </w:rPr>
        <w:t xml:space="preserve"> уроков аварии на АЭС «Фукусима-1».</w:t>
      </w:r>
    </w:p>
    <w:p w:rsidR="007D7FD9" w:rsidRDefault="005C71E8">
      <w:pPr>
        <w:spacing w:after="0" w:line="228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 xml:space="preserve">Миссия установила, что Республика Беларусь должным образом учла все внешние угрозы при проектировании Белорусской АЭС на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Островецкой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площадке.</w:t>
      </w:r>
      <w:r>
        <w:br w:type="page"/>
      </w:r>
    </w:p>
    <w:p w:rsidR="007D7FD9" w:rsidRDefault="005C71E8">
      <w:pPr>
        <w:keepNext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Обращение с радиоактивными отходами и отработавшим топливом Белорусской АЭС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Республике Беларусь подготовлена и утверждена постановлением Совета Министров Республики Беларусь от 2 июня 2015 г. № 460 Стратегия обращения с радиоактивными отходами (РАО) Белорусской атомной электростанции. 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Стратегии изложены положения по обращению</w:t>
      </w:r>
      <w:r>
        <w:rPr>
          <w:rFonts w:ascii="Times New Roman" w:hAnsi="Times New Roman"/>
          <w:color w:val="000000"/>
          <w:sz w:val="30"/>
          <w:szCs w:val="30"/>
        </w:rPr>
        <w:t xml:space="preserve"> с различными видами РАО на всех стадиях их жизненного цикла, включая захоронение. Согласно Стратегии в срок до 2028 года предусмотрено сооружение первой очереди пункта захоронения для размещения очень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низкоактивных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низкоактивных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среднеактивных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радиоакт</w:t>
      </w:r>
      <w:r>
        <w:rPr>
          <w:rFonts w:ascii="Times New Roman" w:hAnsi="Times New Roman"/>
          <w:color w:val="000000"/>
          <w:sz w:val="30"/>
          <w:szCs w:val="30"/>
        </w:rPr>
        <w:t xml:space="preserve">ивных отходов. </w:t>
      </w:r>
    </w:p>
    <w:p w:rsidR="007D7FD9" w:rsidRDefault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Высокоактивные радиоактивные отходы предусматривается хранить на атомной электростанции в течение всего срока ее эксплуатации. В соответствии со Стратегией предусматривается проработать вопрос о необходимости сооружения пункта захоронения </w:t>
      </w:r>
      <w:r>
        <w:rPr>
          <w:rFonts w:ascii="Times New Roman" w:hAnsi="Times New Roman"/>
          <w:color w:val="000000"/>
          <w:sz w:val="30"/>
          <w:szCs w:val="30"/>
        </w:rPr>
        <w:t>высокоактивных РАО в глубокой геологической формации.</w:t>
      </w:r>
    </w:p>
    <w:p w:rsidR="007D7FD9" w:rsidRDefault="005C71E8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>Что касается отработавшего ядерного топлива (ОЯТ), проектом Белорусской АЭС предусмотрены бассейны выдержки для его временного хранения. Бассейны выдержки расположены в здании реакторов и обеспечивают х</w:t>
      </w:r>
      <w:r>
        <w:rPr>
          <w:rFonts w:ascii="Times New Roman" w:hAnsi="Times New Roman"/>
          <w:color w:val="000000"/>
          <w:sz w:val="30"/>
          <w:szCs w:val="30"/>
        </w:rPr>
        <w:t>ранение отработавшего топлива в течение 10 лет с учётом плановых перегрузок и выгрузки всей активной зоны на любой момент эксплуатац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ии АЭ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С. </w:t>
      </w:r>
    </w:p>
    <w:p w:rsidR="007D7FD9" w:rsidRPr="005C71E8" w:rsidRDefault="005C71E8" w:rsidP="005C71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соответствии со статьей 9 Соглашения между Правительством Российской Федерации и Правительством Республики Белару</w:t>
      </w:r>
      <w:r>
        <w:rPr>
          <w:rFonts w:ascii="Times New Roman" w:hAnsi="Times New Roman"/>
          <w:color w:val="000000"/>
          <w:sz w:val="30"/>
          <w:szCs w:val="30"/>
        </w:rPr>
        <w:t xml:space="preserve">сь о сотрудничестве в строительстве на территории Республики Беларусь атомной электростанции ОЯТ,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приобретенное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у российских организаций, подлежит возврату в Россию для переработки на условиях, определяемых в отдельном соглашении.</w:t>
      </w:r>
    </w:p>
    <w:p w:rsidR="007D7FD9" w:rsidRDefault="005C71E8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Рекомендуемые дополнительные материалы</w:t>
      </w:r>
    </w:p>
    <w:p w:rsidR="007D7FD9" w:rsidRDefault="005C71E8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</w:rPr>
        <w:t>Обзоры состояния ядерной и радиационной безоп</w:t>
      </w:r>
      <w:r>
        <w:rPr>
          <w:rFonts w:ascii="Times New Roman" w:hAnsi="Times New Roman"/>
          <w:color w:val="000000"/>
          <w:sz w:val="30"/>
          <w:szCs w:val="30"/>
        </w:rPr>
        <w:t xml:space="preserve">асности в Республике Беларусь, размещенные в разделе </w:t>
      </w:r>
      <w:hyperlink r:id="rId10">
        <w:r>
          <w:rPr>
            <w:rStyle w:val="-"/>
            <w:rFonts w:ascii="Times New Roman" w:hAnsi="Times New Roman"/>
            <w:sz w:val="30"/>
            <w:szCs w:val="30"/>
          </w:rPr>
          <w:t>«Знания для каждого/Библиотека»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интернет-сайта Госатомнадзора </w:t>
      </w:r>
      <w:hyperlink r:id="rId11">
        <w:r>
          <w:rPr>
            <w:rStyle w:val="-"/>
            <w:rFonts w:ascii="Times New Roman" w:hAnsi="Times New Roman"/>
            <w:sz w:val="30"/>
            <w:szCs w:val="30"/>
            <w:lang w:val="en-US"/>
          </w:rPr>
          <w:t>www</w:t>
        </w:r>
        <w:r>
          <w:rPr>
            <w:rStyle w:val="-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-"/>
            <w:rFonts w:ascii="Times New Roman" w:hAnsi="Times New Roman"/>
            <w:sz w:val="30"/>
            <w:szCs w:val="30"/>
            <w:lang w:val="en-US"/>
          </w:rPr>
          <w:t>gosatomnadzor</w:t>
        </w:r>
        <w:proofErr w:type="spellEnd"/>
        <w:r>
          <w:rPr>
            <w:rStyle w:val="-"/>
            <w:rFonts w:ascii="Times New Roman" w:hAnsi="Times New Roman"/>
            <w:sz w:val="30"/>
            <w:szCs w:val="30"/>
          </w:rPr>
          <w:t>.</w:t>
        </w:r>
        <w:proofErr w:type="spellStart"/>
        <w:r>
          <w:rPr>
            <w:rStyle w:val="-"/>
            <w:rFonts w:ascii="Times New Roman" w:hAnsi="Times New Roman"/>
            <w:sz w:val="30"/>
            <w:szCs w:val="30"/>
            <w:lang w:val="en-US"/>
          </w:rPr>
          <w:t>gov</w:t>
        </w:r>
        <w:proofErr w:type="spellEnd"/>
        <w:r>
          <w:rPr>
            <w:rStyle w:val="-"/>
            <w:rFonts w:ascii="Times New Roman" w:hAnsi="Times New Roman"/>
            <w:sz w:val="30"/>
            <w:szCs w:val="30"/>
          </w:rPr>
          <w:t>.</w:t>
        </w:r>
        <w:r>
          <w:rPr>
            <w:rStyle w:val="-"/>
            <w:rFonts w:ascii="Times New Roman" w:hAnsi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/>
          <w:color w:val="000000"/>
          <w:sz w:val="30"/>
          <w:szCs w:val="30"/>
        </w:rPr>
        <w:t>.</w:t>
      </w:r>
    </w:p>
    <w:sectPr w:rsidR="007D7FD9" w:rsidSect="007D7FD9">
      <w:headerReference w:type="default" r:id="rId12"/>
      <w:pgSz w:w="11906" w:h="16838"/>
      <w:pgMar w:top="1418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D9" w:rsidRDefault="007D7FD9" w:rsidP="007D7FD9">
      <w:pPr>
        <w:spacing w:after="0" w:line="240" w:lineRule="auto"/>
      </w:pPr>
      <w:r>
        <w:separator/>
      </w:r>
    </w:p>
  </w:endnote>
  <w:endnote w:type="continuationSeparator" w:id="0">
    <w:p w:rsidR="007D7FD9" w:rsidRDefault="007D7FD9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D9" w:rsidRDefault="005C71E8">
      <w:r>
        <w:separator/>
      </w:r>
    </w:p>
  </w:footnote>
  <w:footnote w:type="continuationSeparator" w:id="0">
    <w:p w:rsidR="007D7FD9" w:rsidRDefault="005C71E8">
      <w:r>
        <w:continuationSeparator/>
      </w:r>
    </w:p>
  </w:footnote>
  <w:footnote w:id="1">
    <w:p w:rsidR="007D7FD9" w:rsidRDefault="005C71E8">
      <w:pPr>
        <w:pStyle w:val="FootnoteText"/>
      </w:pPr>
      <w:r>
        <w:rPr>
          <w:rStyle w:val="aa"/>
        </w:rPr>
        <w:footnoteRef/>
      </w:r>
      <w:r>
        <w:rPr>
          <w:rFonts w:ascii="Times New Roman" w:hAnsi="Times New Roman"/>
        </w:rPr>
        <w:t xml:space="preserve"> Данный принцип заключается в создании системы барьеров на пути распространения ионизирующих излучений и радиоактивных веществ в окружающую среду и </w:t>
      </w:r>
      <w:r>
        <w:rPr>
          <w:rFonts w:ascii="Times New Roman" w:hAnsi="Times New Roman"/>
        </w:rPr>
        <w:t>системы технических и организационных мер по защите этих барьеров, а также сохранению их эффективности при непосредственной защите населения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D9" w:rsidRDefault="007D7FD9">
    <w:pPr>
      <w:pStyle w:val="Header"/>
      <w:jc w:val="center"/>
    </w:pPr>
    <w:r>
      <w:rPr>
        <w:rFonts w:ascii="Times New Roman" w:hAnsi="Times New Roman"/>
        <w:sz w:val="30"/>
        <w:szCs w:val="30"/>
      </w:rPr>
      <w:fldChar w:fldCharType="begin"/>
    </w:r>
    <w:r w:rsidR="005C71E8">
      <w:rPr>
        <w:rFonts w:ascii="Times New Roman" w:hAnsi="Times New Roman"/>
        <w:sz w:val="30"/>
        <w:szCs w:val="30"/>
      </w:rPr>
      <w:instrText>PAGE</w:instrText>
    </w:r>
    <w:r>
      <w:rPr>
        <w:rFonts w:ascii="Times New Roman" w:hAnsi="Times New Roman"/>
        <w:sz w:val="30"/>
        <w:szCs w:val="30"/>
      </w:rPr>
      <w:fldChar w:fldCharType="separate"/>
    </w:r>
    <w:r w:rsidR="005C71E8">
      <w:rPr>
        <w:rFonts w:ascii="Times New Roman" w:hAnsi="Times New Roman"/>
        <w:noProof/>
        <w:sz w:val="30"/>
        <w:szCs w:val="30"/>
      </w:rPr>
      <w:t>6</w:t>
    </w:r>
    <w:r>
      <w:rPr>
        <w:rFonts w:ascii="Times New Roman" w:hAnsi="Times New Roman"/>
        <w:sz w:val="30"/>
        <w:szCs w:val="30"/>
      </w:rPr>
      <w:fldChar w:fldCharType="end"/>
    </w:r>
  </w:p>
  <w:p w:rsidR="007D7FD9" w:rsidRDefault="007D7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D9"/>
    <w:rsid w:val="005C71E8"/>
    <w:rsid w:val="007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locked/>
    <w:rsid w:val="00995842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1">
    <w:name w:val="Стиль1 Знак"/>
    <w:link w:val="1"/>
    <w:qFormat/>
    <w:locked/>
    <w:rsid w:val="00B0095F"/>
    <w:rPr>
      <w:rFonts w:eastAsia="Calibri"/>
      <w:color w:val="000000"/>
      <w:spacing w:val="-8"/>
      <w:sz w:val="32"/>
      <w:szCs w:val="32"/>
      <w:lang w:val="ru-RU" w:eastAsia="ru-RU" w:bidi="ar-SA"/>
    </w:rPr>
  </w:style>
  <w:style w:type="character" w:customStyle="1" w:styleId="a3">
    <w:name w:val="Текст Знак"/>
    <w:qFormat/>
    <w:locked/>
    <w:rsid w:val="008E255B"/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НБРБ"/>
    <w:qFormat/>
    <w:rsid w:val="008E255B"/>
    <w:rPr>
      <w:rFonts w:cs="Times New Roman"/>
      <w:sz w:val="30"/>
    </w:rPr>
  </w:style>
  <w:style w:type="character" w:customStyle="1" w:styleId="a5">
    <w:name w:val="Верхний колонтитул Знак"/>
    <w:qFormat/>
    <w:locked/>
    <w:rsid w:val="00071053"/>
    <w:rPr>
      <w:rFonts w:ascii="Calibri" w:hAnsi="Calibri" w:cs="Times New Roman"/>
    </w:rPr>
  </w:style>
  <w:style w:type="character" w:customStyle="1" w:styleId="a6">
    <w:name w:val="Нижний колонтитул Знак"/>
    <w:semiHidden/>
    <w:qFormat/>
    <w:locked/>
    <w:rsid w:val="00071053"/>
    <w:rPr>
      <w:rFonts w:ascii="Calibri" w:hAnsi="Calibri" w:cs="Times New Roman"/>
    </w:rPr>
  </w:style>
  <w:style w:type="character" w:customStyle="1" w:styleId="-">
    <w:name w:val="Интернет-ссылка"/>
    <w:rsid w:val="00593DAC"/>
    <w:rPr>
      <w:color w:val="0000FF"/>
      <w:u w:val="single"/>
    </w:rPr>
  </w:style>
  <w:style w:type="character" w:styleId="a7">
    <w:name w:val="Strong"/>
    <w:qFormat/>
    <w:locked/>
    <w:rsid w:val="00995842"/>
    <w:rPr>
      <w:b/>
      <w:bCs/>
    </w:rPr>
  </w:style>
  <w:style w:type="character" w:customStyle="1" w:styleId="10">
    <w:name w:val="Основной текст1"/>
    <w:uiPriority w:val="99"/>
    <w:qFormat/>
    <w:rsid w:val="00B80800"/>
    <w:rPr>
      <w:rFonts w:ascii="Times New Roman" w:hAnsi="Times New Roman" w:cs="Times New Roman"/>
      <w:color w:val="000000"/>
      <w:spacing w:val="0"/>
      <w:w w:val="100"/>
      <w:shd w:val="clear" w:color="auto" w:fill="FFFFFF"/>
      <w:lang w:val="ru-RU" w:eastAsia="ru-RU"/>
    </w:rPr>
  </w:style>
  <w:style w:type="character" w:customStyle="1" w:styleId="a8">
    <w:name w:val="Текст сноски Знак"/>
    <w:basedOn w:val="a0"/>
    <w:qFormat/>
    <w:rsid w:val="0062555E"/>
    <w:rPr>
      <w:rFonts w:eastAsia="Times New Roman"/>
      <w:lang w:eastAsia="en-US"/>
    </w:rPr>
  </w:style>
  <w:style w:type="character" w:customStyle="1" w:styleId="a9">
    <w:name w:val="Привязка сноски"/>
    <w:rsid w:val="007D7FD9"/>
    <w:rPr>
      <w:vertAlign w:val="superscript"/>
    </w:rPr>
  </w:style>
  <w:style w:type="character" w:customStyle="1" w:styleId="FootnoteCharacters">
    <w:name w:val="Footnote Characters"/>
    <w:basedOn w:val="a0"/>
    <w:qFormat/>
    <w:rsid w:val="0062555E"/>
    <w:rPr>
      <w:vertAlign w:val="superscript"/>
    </w:rPr>
  </w:style>
  <w:style w:type="character" w:customStyle="1" w:styleId="aa">
    <w:name w:val="Символ сноски"/>
    <w:qFormat/>
    <w:rsid w:val="007D7FD9"/>
  </w:style>
  <w:style w:type="character" w:customStyle="1" w:styleId="ab">
    <w:name w:val="Привязка концевой сноски"/>
    <w:rsid w:val="007D7FD9"/>
    <w:rPr>
      <w:vertAlign w:val="superscript"/>
    </w:rPr>
  </w:style>
  <w:style w:type="character" w:customStyle="1" w:styleId="ac">
    <w:name w:val="Символ концевой сноски"/>
    <w:qFormat/>
    <w:rsid w:val="007D7FD9"/>
  </w:style>
  <w:style w:type="paragraph" w:customStyle="1" w:styleId="ad">
    <w:name w:val="Заголовок"/>
    <w:basedOn w:val="a"/>
    <w:next w:val="ae"/>
    <w:qFormat/>
    <w:rsid w:val="007D7FD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e">
    <w:name w:val="Body Text"/>
    <w:basedOn w:val="a"/>
    <w:rsid w:val="007D7FD9"/>
    <w:pPr>
      <w:spacing w:after="140"/>
    </w:pPr>
  </w:style>
  <w:style w:type="paragraph" w:styleId="af">
    <w:name w:val="List"/>
    <w:basedOn w:val="ae"/>
    <w:rsid w:val="007D7FD9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7D7FD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f0">
    <w:name w:val="index heading"/>
    <w:basedOn w:val="a"/>
    <w:qFormat/>
    <w:rsid w:val="007D7FD9"/>
    <w:pPr>
      <w:suppressLineNumbers/>
    </w:pPr>
    <w:rPr>
      <w:rFonts w:ascii="Times New Roman" w:hAnsi="Times New Roman" w:cs="Mangal"/>
    </w:rPr>
  </w:style>
  <w:style w:type="paragraph" w:customStyle="1" w:styleId="ConsPlusNormal">
    <w:name w:val="ConsPlusNormal"/>
    <w:qFormat/>
    <w:rsid w:val="00AB1BB0"/>
    <w:rPr>
      <w:rFonts w:ascii="Times New Roman" w:eastAsia="Times New Roman" w:hAnsi="Times New Roman"/>
      <w:sz w:val="30"/>
      <w:szCs w:val="30"/>
    </w:rPr>
  </w:style>
  <w:style w:type="paragraph" w:customStyle="1" w:styleId="11">
    <w:name w:val="Стиль1"/>
    <w:basedOn w:val="a"/>
    <w:autoRedefine/>
    <w:qFormat/>
    <w:rsid w:val="00B0095F"/>
    <w:pPr>
      <w:widowControl w:val="0"/>
      <w:spacing w:after="0" w:line="240" w:lineRule="auto"/>
      <w:ind w:firstLine="709"/>
      <w:jc w:val="both"/>
    </w:pPr>
    <w:rPr>
      <w:rFonts w:eastAsia="Calibri"/>
      <w:color w:val="000000"/>
      <w:spacing w:val="-8"/>
      <w:sz w:val="32"/>
      <w:szCs w:val="32"/>
      <w:lang w:eastAsia="ru-RU"/>
    </w:rPr>
  </w:style>
  <w:style w:type="paragraph" w:customStyle="1" w:styleId="12">
    <w:name w:val="Абзац списка1"/>
    <w:basedOn w:val="a"/>
    <w:qFormat/>
    <w:rsid w:val="008E255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30"/>
    </w:rPr>
  </w:style>
  <w:style w:type="paragraph" w:customStyle="1" w:styleId="Default">
    <w:name w:val="Default"/>
    <w:qFormat/>
    <w:rsid w:val="008E255B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1">
    <w:name w:val="Normal (Web)"/>
    <w:basedOn w:val="a"/>
    <w:qFormat/>
    <w:rsid w:val="008E255B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Plain Text"/>
    <w:basedOn w:val="a"/>
    <w:qFormat/>
    <w:rsid w:val="008E255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7D7FD9"/>
  </w:style>
  <w:style w:type="paragraph" w:customStyle="1" w:styleId="Header">
    <w:name w:val="Header"/>
    <w:basedOn w:val="a"/>
    <w:rsid w:val="0007105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Footer">
    <w:name w:val="Footer"/>
    <w:basedOn w:val="a"/>
    <w:semiHidden/>
    <w:rsid w:val="0007105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3">
    <w:name w:val="Основной текст3"/>
    <w:basedOn w:val="a"/>
    <w:qFormat/>
    <w:rsid w:val="00B80800"/>
    <w:pPr>
      <w:widowControl w:val="0"/>
      <w:shd w:val="clear" w:color="auto" w:fill="FFFFFF"/>
      <w:spacing w:before="300" w:after="300" w:line="274" w:lineRule="exact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FootnoteText">
    <w:name w:val="Footnote Text"/>
    <w:basedOn w:val="a"/>
    <w:rsid w:val="0062555E"/>
    <w:rPr>
      <w:sz w:val="20"/>
      <w:szCs w:val="20"/>
    </w:rPr>
  </w:style>
  <w:style w:type="table" w:styleId="af4">
    <w:name w:val="Table Grid"/>
    <w:basedOn w:val="a1"/>
    <w:rsid w:val="00844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5C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C71E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ea.org/PRI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atomnadzor.gov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atomnadzor.gov.by/index.php/ru/znaniya-dlya-kazhdogo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es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3168-DA8C-4D14-B585-84B9266C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1326</Words>
  <Characters>7564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проведению единого дня информирования населения по теме: ”Деноминация белорусского рубля: цели и механизм проведения“</dc:title>
  <dc:subject/>
  <dc:creator>voronec</dc:creator>
  <dc:description/>
  <cp:lastModifiedBy>Секретарь УЗ "ВОЭД"</cp:lastModifiedBy>
  <cp:revision>6</cp:revision>
  <cp:lastPrinted>2017-08-01T07:26:00Z</cp:lastPrinted>
  <dcterms:created xsi:type="dcterms:W3CDTF">2017-08-01T07:44:00Z</dcterms:created>
  <dcterms:modified xsi:type="dcterms:W3CDTF">2019-09-03T07:05:00Z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